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0DCF" w:rsidRPr="0080775D" w:rsidRDefault="00C06ABB" w:rsidP="00D82A9E">
      <w:pPr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Experiencias bolivianas en pronóstico de generación del recurso eólico y solar fortalecen las capacidades técnicas en la región</w:t>
      </w:r>
    </w:p>
    <w:p w:rsidR="00D82A9E" w:rsidRPr="0080775D" w:rsidRDefault="00D82A9E" w:rsidP="00D82A9E">
      <w:pPr>
        <w:jc w:val="center"/>
        <w:rPr>
          <w:rFonts w:ascii="Arial" w:hAnsi="Arial" w:cs="Arial"/>
          <w:b/>
          <w:lang w:val="es-ES"/>
        </w:rPr>
      </w:pPr>
    </w:p>
    <w:p w:rsidR="00D82A9E" w:rsidRPr="0080775D" w:rsidRDefault="0080775D" w:rsidP="00D82A9E">
      <w:pPr>
        <w:jc w:val="right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Arturo Loayza</w:t>
      </w:r>
    </w:p>
    <w:p w:rsidR="00D82A9E" w:rsidRPr="00D82A9E" w:rsidRDefault="009E2178" w:rsidP="00D82A9E">
      <w:pPr>
        <w:jc w:val="right"/>
        <w:rPr>
          <w:rFonts w:ascii="Arial" w:hAnsi="Arial" w:cs="Arial"/>
          <w:sz w:val="22"/>
          <w:szCs w:val="22"/>
        </w:rPr>
      </w:pPr>
      <w:hyperlink r:id="rId5" w:history="1">
        <w:r w:rsidR="0080775D" w:rsidRPr="00411A49">
          <w:rPr>
            <w:rStyle w:val="Hipervnculo"/>
            <w:rFonts w:ascii="Arial" w:hAnsi="Arial" w:cs="Arial"/>
            <w:sz w:val="22"/>
            <w:szCs w:val="22"/>
          </w:rPr>
          <w:t>arturo.loayza@giz.de</w:t>
        </w:r>
      </w:hyperlink>
      <w:r w:rsidR="0080775D">
        <w:rPr>
          <w:rFonts w:ascii="Arial" w:hAnsi="Arial" w:cs="Arial"/>
          <w:sz w:val="22"/>
          <w:szCs w:val="22"/>
        </w:rPr>
        <w:t xml:space="preserve"> </w:t>
      </w:r>
    </w:p>
    <w:p w:rsidR="0080775D" w:rsidRDefault="0080775D" w:rsidP="00D82A9E">
      <w:pPr>
        <w:jc w:val="both"/>
        <w:rPr>
          <w:rFonts w:ascii="Arial" w:hAnsi="Arial" w:cs="Arial"/>
          <w:sz w:val="22"/>
          <w:szCs w:val="22"/>
        </w:rPr>
      </w:pPr>
    </w:p>
    <w:p w:rsidR="00D82A9E" w:rsidRDefault="0080775D" w:rsidP="00D82A9E">
      <w:pPr>
        <w:jc w:val="both"/>
        <w:rPr>
          <w:rFonts w:ascii="Arial" w:hAnsi="Arial" w:cs="Arial"/>
          <w:sz w:val="22"/>
          <w:szCs w:val="22"/>
        </w:rPr>
      </w:pPr>
      <w:r w:rsidRPr="0080775D">
        <w:rPr>
          <w:rFonts w:ascii="Arial" w:hAnsi="Arial" w:cs="Arial"/>
          <w:sz w:val="22"/>
          <w:szCs w:val="22"/>
        </w:rPr>
        <w:t>La demanda de energía eléctrica en América Latina y el Caribe</w:t>
      </w:r>
      <w:r w:rsidR="00D952A9">
        <w:rPr>
          <w:rFonts w:ascii="Arial" w:hAnsi="Arial" w:cs="Arial"/>
          <w:sz w:val="22"/>
          <w:szCs w:val="22"/>
        </w:rPr>
        <w:t>,</w:t>
      </w:r>
      <w:r w:rsidRPr="0080775D">
        <w:rPr>
          <w:rFonts w:ascii="Arial" w:hAnsi="Arial" w:cs="Arial"/>
          <w:sz w:val="22"/>
          <w:szCs w:val="22"/>
        </w:rPr>
        <w:t xml:space="preserve"> en las próximas décadas</w:t>
      </w:r>
      <w:r w:rsidR="00D952A9">
        <w:rPr>
          <w:rFonts w:ascii="Arial" w:hAnsi="Arial" w:cs="Arial"/>
          <w:sz w:val="22"/>
          <w:szCs w:val="22"/>
        </w:rPr>
        <w:t>,</w:t>
      </w:r>
      <w:r w:rsidRPr="0080775D">
        <w:rPr>
          <w:rFonts w:ascii="Arial" w:hAnsi="Arial" w:cs="Arial"/>
          <w:sz w:val="22"/>
          <w:szCs w:val="22"/>
        </w:rPr>
        <w:t xml:space="preserve"> será suministrada</w:t>
      </w:r>
      <w:r w:rsidR="00D952A9">
        <w:rPr>
          <w:rFonts w:ascii="Arial" w:hAnsi="Arial" w:cs="Arial"/>
          <w:sz w:val="22"/>
          <w:szCs w:val="22"/>
        </w:rPr>
        <w:t>,</w:t>
      </w:r>
      <w:r w:rsidRPr="0080775D">
        <w:rPr>
          <w:rFonts w:ascii="Arial" w:hAnsi="Arial" w:cs="Arial"/>
          <w:sz w:val="22"/>
          <w:szCs w:val="22"/>
        </w:rPr>
        <w:t xml:space="preserve"> en su mayoría</w:t>
      </w:r>
      <w:r w:rsidR="00D952A9">
        <w:rPr>
          <w:rFonts w:ascii="Arial" w:hAnsi="Arial" w:cs="Arial"/>
          <w:sz w:val="22"/>
          <w:szCs w:val="22"/>
        </w:rPr>
        <w:t>,</w:t>
      </w:r>
      <w:r w:rsidRPr="0080775D">
        <w:rPr>
          <w:rFonts w:ascii="Arial" w:hAnsi="Arial" w:cs="Arial"/>
          <w:sz w:val="22"/>
          <w:szCs w:val="22"/>
        </w:rPr>
        <w:t xml:space="preserve"> por energías renovables</w:t>
      </w:r>
      <w:r w:rsidR="00D952A9">
        <w:rPr>
          <w:rFonts w:ascii="Arial" w:hAnsi="Arial" w:cs="Arial"/>
          <w:sz w:val="22"/>
          <w:szCs w:val="22"/>
        </w:rPr>
        <w:t>, s</w:t>
      </w:r>
      <w:r w:rsidRPr="0080775D">
        <w:rPr>
          <w:rFonts w:ascii="Arial" w:hAnsi="Arial" w:cs="Arial"/>
          <w:sz w:val="22"/>
          <w:szCs w:val="22"/>
        </w:rPr>
        <w:t>egún distintas proyecciones, debido al potencial con el que cuenta la región y a la reducción de los costos de tecnologías de fuentes renovables como la eólica y solar. En este sentido, la integración de fuentes renovables variables representa nuevos desafíos para la operación de los sistemas eléctricos debido a la variabilidad y a la alta incertidumbre de estos recursos. Para ello</w:t>
      </w:r>
      <w:r w:rsidR="00D952A9">
        <w:rPr>
          <w:rFonts w:ascii="Arial" w:hAnsi="Arial" w:cs="Arial"/>
          <w:sz w:val="22"/>
          <w:szCs w:val="22"/>
        </w:rPr>
        <w:t>,</w:t>
      </w:r>
      <w:r w:rsidRPr="0080775D">
        <w:rPr>
          <w:rFonts w:ascii="Arial" w:hAnsi="Arial" w:cs="Arial"/>
          <w:sz w:val="22"/>
          <w:szCs w:val="22"/>
        </w:rPr>
        <w:t xml:space="preserve"> es necesario incorporar flexibilidad a los sistemas eléctricos con medidas tecnológicas, regulatorias y operativas. Entre estas medidas destaca el mejoramiento de los pronósticos de generación eólica y solar fotovoltaica, con la cual se logran aprovechar dichos recursos y mejorar los procesos de planificación y operación de los sistemas eléctricos.</w:t>
      </w:r>
    </w:p>
    <w:p w:rsidR="0080775D" w:rsidRDefault="0080775D" w:rsidP="00D82A9E">
      <w:pPr>
        <w:jc w:val="both"/>
        <w:rPr>
          <w:rFonts w:ascii="Arial" w:hAnsi="Arial" w:cs="Arial"/>
          <w:sz w:val="22"/>
          <w:szCs w:val="22"/>
        </w:rPr>
      </w:pPr>
    </w:p>
    <w:p w:rsidR="0080775D" w:rsidRDefault="0080775D" w:rsidP="00D82A9E">
      <w:pPr>
        <w:jc w:val="both"/>
        <w:rPr>
          <w:rFonts w:ascii="Arial" w:hAnsi="Arial" w:cs="Arial"/>
          <w:sz w:val="22"/>
          <w:szCs w:val="22"/>
        </w:rPr>
      </w:pPr>
      <w:r w:rsidRPr="0080775D">
        <w:rPr>
          <w:rFonts w:ascii="Arial" w:hAnsi="Arial" w:cs="Arial"/>
          <w:sz w:val="22"/>
          <w:szCs w:val="22"/>
        </w:rPr>
        <w:t>E</w:t>
      </w:r>
      <w:r w:rsidR="00D952A9">
        <w:rPr>
          <w:rFonts w:ascii="Arial" w:hAnsi="Arial" w:cs="Arial"/>
          <w:sz w:val="22"/>
          <w:szCs w:val="22"/>
        </w:rPr>
        <w:t>n ese sentido, e</w:t>
      </w:r>
      <w:r w:rsidRPr="0080775D">
        <w:rPr>
          <w:rFonts w:ascii="Arial" w:hAnsi="Arial" w:cs="Arial"/>
          <w:sz w:val="22"/>
          <w:szCs w:val="22"/>
        </w:rPr>
        <w:t xml:space="preserve">l </w:t>
      </w:r>
      <w:r w:rsidRPr="0080775D">
        <w:rPr>
          <w:rFonts w:ascii="Arial" w:hAnsi="Arial" w:cs="Arial"/>
          <w:i/>
          <w:iCs/>
          <w:sz w:val="22"/>
          <w:szCs w:val="22"/>
        </w:rPr>
        <w:t>Workstream Forecasting</w:t>
      </w:r>
      <w:r w:rsidRPr="0080775D">
        <w:rPr>
          <w:rFonts w:ascii="Arial" w:hAnsi="Arial" w:cs="Arial"/>
          <w:sz w:val="22"/>
          <w:szCs w:val="22"/>
        </w:rPr>
        <w:t xml:space="preserve"> de la red sectorial GADeR-ALC ha visto una oportunidad para realizar gestión de conocimiento entre </w:t>
      </w:r>
      <w:r>
        <w:rPr>
          <w:rFonts w:ascii="Arial" w:hAnsi="Arial" w:cs="Arial"/>
          <w:sz w:val="22"/>
          <w:szCs w:val="22"/>
        </w:rPr>
        <w:t xml:space="preserve">Bolivia, Chile, Costa Rica, El Salvador, Guatemala, Honduras, México, Nicaragua, República Dominicana y Panamá </w:t>
      </w:r>
      <w:r w:rsidRPr="0080775D">
        <w:rPr>
          <w:rFonts w:ascii="Arial" w:hAnsi="Arial" w:cs="Arial"/>
          <w:sz w:val="22"/>
          <w:szCs w:val="22"/>
        </w:rPr>
        <w:t>sobre las condiciones actuales para abordar el tema de pronósticos de generación eólica y solar, en base a las buenas prácticas y lecciones aprendidas.</w:t>
      </w:r>
    </w:p>
    <w:p w:rsidR="00C06ABB" w:rsidRDefault="00C06ABB" w:rsidP="00D82A9E">
      <w:pPr>
        <w:jc w:val="both"/>
        <w:rPr>
          <w:rFonts w:ascii="Arial" w:hAnsi="Arial" w:cs="Arial"/>
          <w:sz w:val="22"/>
          <w:szCs w:val="22"/>
        </w:rPr>
      </w:pPr>
    </w:p>
    <w:p w:rsidR="00C06ABB" w:rsidRPr="00D60046" w:rsidRDefault="00C06ABB" w:rsidP="00C06ABB">
      <w:pPr>
        <w:jc w:val="both"/>
        <w:rPr>
          <w:rFonts w:ascii="Arial" w:hAnsi="Arial" w:cs="Arial"/>
          <w:sz w:val="22"/>
          <w:szCs w:val="22"/>
          <w:lang w:val="es-ES"/>
        </w:rPr>
      </w:pPr>
      <w:r w:rsidRPr="00D60046">
        <w:rPr>
          <w:rFonts w:ascii="Arial" w:hAnsi="Arial" w:cs="Arial"/>
          <w:sz w:val="22"/>
          <w:szCs w:val="22"/>
          <w:lang w:val="es-ES"/>
        </w:rPr>
        <w:t xml:space="preserve">El </w:t>
      </w:r>
      <w:r w:rsidRPr="00C06ABB">
        <w:rPr>
          <w:rFonts w:ascii="Arial" w:hAnsi="Arial" w:cs="Arial"/>
          <w:i/>
          <w:iCs/>
          <w:sz w:val="22"/>
          <w:szCs w:val="22"/>
          <w:lang w:val="es-ES"/>
        </w:rPr>
        <w:t>Workstream Forecasting</w:t>
      </w:r>
      <w:r w:rsidRPr="00D60046">
        <w:rPr>
          <w:rFonts w:ascii="Arial" w:hAnsi="Arial" w:cs="Arial"/>
          <w:sz w:val="22"/>
          <w:szCs w:val="22"/>
          <w:lang w:val="es-ES"/>
        </w:rPr>
        <w:t xml:space="preserve"> está formado por los si</w:t>
      </w:r>
      <w:r>
        <w:rPr>
          <w:rFonts w:ascii="Arial" w:hAnsi="Arial" w:cs="Arial"/>
          <w:sz w:val="22"/>
          <w:szCs w:val="22"/>
          <w:lang w:val="es-ES"/>
        </w:rPr>
        <w:t>guientes Programas de la GIZ:</w:t>
      </w:r>
    </w:p>
    <w:p w:rsidR="00C06ABB" w:rsidRPr="0080775D" w:rsidRDefault="00C06ABB" w:rsidP="00C06ABB">
      <w:pPr>
        <w:pStyle w:val="Prrafodelista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80775D">
        <w:rPr>
          <w:rFonts w:ascii="Arial" w:hAnsi="Arial" w:cs="Arial"/>
          <w:sz w:val="20"/>
          <w:szCs w:val="20"/>
        </w:rPr>
        <w:t>Programa de Energías Renovables y Eficiencia Energética (PEERR-II) de Bolivia.</w:t>
      </w:r>
    </w:p>
    <w:p w:rsidR="00C06ABB" w:rsidRPr="0080775D" w:rsidRDefault="00C06ABB" w:rsidP="00C06ABB">
      <w:pPr>
        <w:pStyle w:val="Prrafodelista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80775D">
        <w:rPr>
          <w:rFonts w:ascii="Arial" w:hAnsi="Arial" w:cs="Arial"/>
          <w:sz w:val="20"/>
          <w:szCs w:val="20"/>
        </w:rPr>
        <w:t>Programa de Energías Renovables y Eficiencia Energética (4e) de Centroamérica.</w:t>
      </w:r>
    </w:p>
    <w:p w:rsidR="00C06ABB" w:rsidRPr="0080775D" w:rsidRDefault="00C06ABB" w:rsidP="00C06ABB">
      <w:pPr>
        <w:pStyle w:val="Prrafodelista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80775D">
        <w:rPr>
          <w:rFonts w:ascii="Arial" w:hAnsi="Arial" w:cs="Arial"/>
          <w:sz w:val="20"/>
          <w:szCs w:val="20"/>
        </w:rPr>
        <w:t>Programa de Energías Renovables y Eficiencia Energética (4e) de Chile.</w:t>
      </w:r>
    </w:p>
    <w:p w:rsidR="00C06ABB" w:rsidRPr="0080775D" w:rsidRDefault="00C06ABB" w:rsidP="00C06ABB">
      <w:pPr>
        <w:pStyle w:val="Prrafodelista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80775D">
        <w:rPr>
          <w:rFonts w:ascii="Arial" w:hAnsi="Arial" w:cs="Arial"/>
          <w:sz w:val="20"/>
          <w:szCs w:val="20"/>
        </w:rPr>
        <w:t>Programa de Apoyo a la Implementación de la Transición Energética (TrEM) en México.</w:t>
      </w:r>
    </w:p>
    <w:p w:rsidR="00C06ABB" w:rsidRPr="0080775D" w:rsidRDefault="00C06ABB" w:rsidP="00C06ABB">
      <w:pPr>
        <w:pStyle w:val="Prrafodelista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80775D">
        <w:rPr>
          <w:rFonts w:ascii="Arial" w:hAnsi="Arial" w:cs="Arial"/>
          <w:sz w:val="20"/>
          <w:szCs w:val="20"/>
        </w:rPr>
        <w:t>Proyecto</w:t>
      </w:r>
      <w:r>
        <w:rPr>
          <w:rFonts w:ascii="Arial" w:hAnsi="Arial" w:cs="Arial"/>
          <w:sz w:val="20"/>
          <w:szCs w:val="20"/>
        </w:rPr>
        <w:t xml:space="preserve"> de</w:t>
      </w:r>
      <w:r w:rsidRPr="0080775D">
        <w:rPr>
          <w:rFonts w:ascii="Arial" w:hAnsi="Arial" w:cs="Arial"/>
          <w:sz w:val="20"/>
          <w:szCs w:val="20"/>
        </w:rPr>
        <w:t xml:space="preserve"> Transición Energética</w:t>
      </w:r>
      <w:r>
        <w:rPr>
          <w:rFonts w:ascii="Arial" w:hAnsi="Arial" w:cs="Arial"/>
          <w:sz w:val="20"/>
          <w:szCs w:val="20"/>
        </w:rPr>
        <w:t xml:space="preserve"> y </w:t>
      </w:r>
      <w:r w:rsidRPr="0080775D">
        <w:rPr>
          <w:rFonts w:ascii="Arial" w:hAnsi="Arial" w:cs="Arial"/>
          <w:sz w:val="20"/>
          <w:szCs w:val="20"/>
        </w:rPr>
        <w:t>Fomento de Energías Renovables para implementar los Objetivos Climáticos en la República Dominicana.</w:t>
      </w:r>
    </w:p>
    <w:p w:rsidR="0080775D" w:rsidRDefault="0080775D" w:rsidP="00D82A9E">
      <w:pPr>
        <w:jc w:val="both"/>
        <w:rPr>
          <w:rFonts w:ascii="Arial" w:hAnsi="Arial" w:cs="Arial"/>
          <w:sz w:val="22"/>
          <w:szCs w:val="22"/>
        </w:rPr>
      </w:pPr>
    </w:p>
    <w:p w:rsidR="00C06ABB" w:rsidRDefault="00C06ABB" w:rsidP="00C06AB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 PEERR-II, en coordinación con el Ministerio de Energías, a</w:t>
      </w:r>
      <w:r w:rsidRPr="00347963">
        <w:rPr>
          <w:rFonts w:ascii="Arial" w:hAnsi="Arial" w:cs="Arial"/>
          <w:sz w:val="22"/>
          <w:szCs w:val="22"/>
        </w:rPr>
        <w:t xml:space="preserve">sesora la implementación del </w:t>
      </w:r>
      <w:r>
        <w:rPr>
          <w:rFonts w:ascii="Arial" w:hAnsi="Arial" w:cs="Arial"/>
          <w:sz w:val="22"/>
          <w:szCs w:val="22"/>
        </w:rPr>
        <w:t>centro</w:t>
      </w:r>
      <w:r w:rsidRPr="00347963">
        <w:rPr>
          <w:rFonts w:ascii="Arial" w:hAnsi="Arial" w:cs="Arial"/>
          <w:sz w:val="22"/>
          <w:szCs w:val="22"/>
        </w:rPr>
        <w:t xml:space="preserve"> de pronóstico de alto rendimiento </w:t>
      </w:r>
      <w:r>
        <w:rPr>
          <w:rFonts w:ascii="Arial" w:hAnsi="Arial" w:cs="Arial"/>
          <w:sz w:val="22"/>
          <w:szCs w:val="22"/>
        </w:rPr>
        <w:t xml:space="preserve">de la Universidad Mayor de San Andrés, de manera tal pueda Bolivia </w:t>
      </w:r>
      <w:r w:rsidRPr="00347963">
        <w:rPr>
          <w:rFonts w:ascii="Arial" w:hAnsi="Arial" w:cs="Arial"/>
          <w:sz w:val="22"/>
          <w:szCs w:val="22"/>
        </w:rPr>
        <w:t xml:space="preserve">contar con un sistema de pronóstico operativo de generación de energía, </w:t>
      </w:r>
      <w:r>
        <w:rPr>
          <w:rFonts w:ascii="Arial" w:hAnsi="Arial" w:cs="Arial"/>
          <w:sz w:val="22"/>
          <w:szCs w:val="22"/>
        </w:rPr>
        <w:t>que mejore de forma eficiente la operación de los</w:t>
      </w:r>
      <w:r w:rsidRPr="00347963">
        <w:rPr>
          <w:rFonts w:ascii="Arial" w:hAnsi="Arial" w:cs="Arial"/>
          <w:sz w:val="22"/>
          <w:szCs w:val="22"/>
        </w:rPr>
        <w:t xml:space="preserve"> sistemas de generación eólico </w:t>
      </w:r>
      <w:r>
        <w:rPr>
          <w:rFonts w:ascii="Arial" w:hAnsi="Arial" w:cs="Arial"/>
          <w:sz w:val="22"/>
          <w:szCs w:val="22"/>
        </w:rPr>
        <w:t>y solar,</w:t>
      </w:r>
      <w:r w:rsidRPr="00347963">
        <w:rPr>
          <w:rFonts w:ascii="Arial" w:hAnsi="Arial" w:cs="Arial"/>
          <w:sz w:val="22"/>
          <w:szCs w:val="22"/>
        </w:rPr>
        <w:t xml:space="preserve"> así como al sistema de despacho de carga.</w:t>
      </w:r>
      <w:r>
        <w:rPr>
          <w:rFonts w:ascii="Arial" w:hAnsi="Arial" w:cs="Arial"/>
          <w:sz w:val="22"/>
          <w:szCs w:val="22"/>
        </w:rPr>
        <w:t xml:space="preserve"> </w:t>
      </w:r>
    </w:p>
    <w:p w:rsidR="00C06ABB" w:rsidRDefault="00C06ABB" w:rsidP="00C06ABB">
      <w:pPr>
        <w:jc w:val="both"/>
        <w:rPr>
          <w:rFonts w:ascii="Arial" w:hAnsi="Arial" w:cs="Arial"/>
          <w:sz w:val="22"/>
          <w:szCs w:val="22"/>
        </w:rPr>
      </w:pPr>
    </w:p>
    <w:p w:rsidR="007B1066" w:rsidRDefault="00C06ABB" w:rsidP="00D6004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Esta metodología y buenas experiencias en Bolivia contribuyen al fortalecimiento de capacidades en la región a través del</w:t>
      </w:r>
      <w:r w:rsidR="007B1066">
        <w:rPr>
          <w:rFonts w:ascii="Arial" w:hAnsi="Arial" w:cs="Arial"/>
          <w:sz w:val="22"/>
          <w:szCs w:val="22"/>
        </w:rPr>
        <w:t xml:space="preserve"> </w:t>
      </w:r>
      <w:r w:rsidR="007B1066" w:rsidRPr="007B1066">
        <w:rPr>
          <w:rFonts w:ascii="Arial" w:hAnsi="Arial" w:cs="Arial"/>
          <w:i/>
          <w:iCs/>
          <w:sz w:val="22"/>
          <w:szCs w:val="22"/>
        </w:rPr>
        <w:t>Workstream Forecasting</w:t>
      </w:r>
      <w:r w:rsidR="007B1066">
        <w:rPr>
          <w:rFonts w:ascii="Arial" w:hAnsi="Arial" w:cs="Arial"/>
          <w:sz w:val="22"/>
          <w:szCs w:val="22"/>
        </w:rPr>
        <w:t xml:space="preserve">. </w:t>
      </w:r>
      <w:r w:rsidR="0080775D">
        <w:rPr>
          <w:rFonts w:ascii="Arial" w:hAnsi="Arial" w:cs="Arial"/>
          <w:sz w:val="22"/>
          <w:szCs w:val="22"/>
        </w:rPr>
        <w:t>Como una primera medida</w:t>
      </w:r>
      <w:r w:rsidR="00D60046">
        <w:rPr>
          <w:rFonts w:ascii="Arial" w:hAnsi="Arial" w:cs="Arial"/>
          <w:sz w:val="22"/>
          <w:szCs w:val="22"/>
        </w:rPr>
        <w:t>,</w:t>
      </w:r>
      <w:r w:rsidR="0080775D">
        <w:rPr>
          <w:rFonts w:ascii="Arial" w:hAnsi="Arial" w:cs="Arial"/>
          <w:sz w:val="22"/>
          <w:szCs w:val="22"/>
        </w:rPr>
        <w:t xml:space="preserve"> y gracias a los recursos </w:t>
      </w:r>
      <w:r w:rsidR="00D60046">
        <w:rPr>
          <w:rFonts w:ascii="Arial" w:hAnsi="Arial" w:cs="Arial"/>
          <w:sz w:val="22"/>
          <w:szCs w:val="22"/>
        </w:rPr>
        <w:t xml:space="preserve">obtenidos del Fondo de Innovación de GADeR-ALC, en coordinación con la </w:t>
      </w:r>
      <w:r w:rsidR="00D60046" w:rsidRPr="00D60046">
        <w:rPr>
          <w:rFonts w:ascii="Arial" w:hAnsi="Arial" w:cs="Arial"/>
          <w:sz w:val="22"/>
          <w:szCs w:val="22"/>
        </w:rPr>
        <w:t>Universidad de Galileo en Guatemala</w:t>
      </w:r>
      <w:r w:rsidR="00D952A9">
        <w:rPr>
          <w:rFonts w:ascii="Arial" w:hAnsi="Arial" w:cs="Arial"/>
          <w:sz w:val="22"/>
          <w:szCs w:val="22"/>
        </w:rPr>
        <w:t>,</w:t>
      </w:r>
      <w:r w:rsidR="00D60046">
        <w:rPr>
          <w:rFonts w:ascii="Arial" w:hAnsi="Arial" w:cs="Arial"/>
          <w:sz w:val="22"/>
          <w:szCs w:val="22"/>
        </w:rPr>
        <w:t xml:space="preserve"> actualmente se lleva a cabo el </w:t>
      </w:r>
      <w:r w:rsidR="00D60046" w:rsidRPr="00D60046">
        <w:rPr>
          <w:rFonts w:ascii="Arial" w:hAnsi="Arial" w:cs="Arial"/>
          <w:sz w:val="22"/>
          <w:szCs w:val="22"/>
        </w:rPr>
        <w:t xml:space="preserve">curso </w:t>
      </w:r>
      <w:r w:rsidR="007B1066">
        <w:rPr>
          <w:rFonts w:ascii="Arial" w:hAnsi="Arial" w:cs="Arial"/>
          <w:sz w:val="22"/>
          <w:szCs w:val="22"/>
        </w:rPr>
        <w:t xml:space="preserve">abierto </w:t>
      </w:r>
      <w:r w:rsidR="00D60046" w:rsidRPr="00D60046">
        <w:rPr>
          <w:rFonts w:ascii="Arial" w:hAnsi="Arial" w:cs="Arial"/>
          <w:sz w:val="22"/>
          <w:szCs w:val="22"/>
        </w:rPr>
        <w:t>masivo online (MOOC por sus siglas en inglés):</w:t>
      </w:r>
      <w:r w:rsidR="00D60046">
        <w:rPr>
          <w:rFonts w:ascii="Arial" w:hAnsi="Arial" w:cs="Arial"/>
          <w:sz w:val="22"/>
          <w:szCs w:val="22"/>
        </w:rPr>
        <w:t xml:space="preserve"> </w:t>
      </w:r>
      <w:r w:rsidR="00D60046" w:rsidRPr="00D952A9">
        <w:rPr>
          <w:rFonts w:ascii="Arial" w:hAnsi="Arial" w:cs="Arial"/>
          <w:b/>
          <w:sz w:val="22"/>
          <w:szCs w:val="22"/>
        </w:rPr>
        <w:t xml:space="preserve">“Pronóstico de la Generación de Energía Eólica y Solar Fotovoltaica”, </w:t>
      </w:r>
      <w:r w:rsidR="00D60046" w:rsidRPr="00D60046">
        <w:rPr>
          <w:rFonts w:ascii="Arial" w:hAnsi="Arial" w:cs="Arial"/>
          <w:sz w:val="22"/>
          <w:szCs w:val="22"/>
        </w:rPr>
        <w:t>dirigido a personal técnico involucrado en la regulación, planificación y/o operación de sistemas de generación y centros de control de despacho de energía eléctrica</w:t>
      </w:r>
      <w:r w:rsidR="007B1066">
        <w:rPr>
          <w:rFonts w:ascii="Arial" w:hAnsi="Arial" w:cs="Arial"/>
          <w:sz w:val="22"/>
          <w:szCs w:val="22"/>
        </w:rPr>
        <w:t xml:space="preserve">. </w:t>
      </w:r>
    </w:p>
    <w:p w:rsidR="007B1066" w:rsidRDefault="007B1066" w:rsidP="00D60046">
      <w:pPr>
        <w:jc w:val="both"/>
        <w:rPr>
          <w:rFonts w:ascii="Arial" w:hAnsi="Arial" w:cs="Arial"/>
          <w:sz w:val="22"/>
          <w:szCs w:val="22"/>
        </w:rPr>
      </w:pPr>
    </w:p>
    <w:p w:rsidR="007B1066" w:rsidRDefault="007B1066" w:rsidP="00D6004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Gracias a la buena aceptación por parte del personal técnico de las contrapartes regionales y por la sociedad civil, el c</w:t>
      </w:r>
      <w:r w:rsidRPr="00D60046">
        <w:rPr>
          <w:rFonts w:ascii="Arial" w:hAnsi="Arial" w:cs="Arial"/>
          <w:sz w:val="22"/>
          <w:szCs w:val="22"/>
        </w:rPr>
        <w:t>urso</w:t>
      </w:r>
      <w:r>
        <w:rPr>
          <w:rFonts w:ascii="Arial" w:hAnsi="Arial" w:cs="Arial"/>
          <w:sz w:val="22"/>
          <w:szCs w:val="22"/>
        </w:rPr>
        <w:t xml:space="preserve"> abierto</w:t>
      </w:r>
      <w:r w:rsidRPr="00D60046">
        <w:rPr>
          <w:rFonts w:ascii="Arial" w:hAnsi="Arial" w:cs="Arial"/>
          <w:sz w:val="22"/>
          <w:szCs w:val="22"/>
        </w:rPr>
        <w:t xml:space="preserve"> masivo online</w:t>
      </w:r>
      <w:r>
        <w:rPr>
          <w:rFonts w:ascii="Arial" w:hAnsi="Arial" w:cs="Arial"/>
          <w:sz w:val="22"/>
          <w:szCs w:val="22"/>
        </w:rPr>
        <w:t xml:space="preserve"> contará con dos replicas en esta gestión</w:t>
      </w:r>
      <w:r w:rsidR="00D952A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y el </w:t>
      </w:r>
      <w:r w:rsidRPr="006F4D96">
        <w:rPr>
          <w:rFonts w:ascii="Arial" w:hAnsi="Arial" w:cs="Arial"/>
          <w:i/>
          <w:iCs/>
          <w:sz w:val="22"/>
          <w:szCs w:val="22"/>
        </w:rPr>
        <w:t>Workstream Forecasting</w:t>
      </w:r>
      <w:r>
        <w:rPr>
          <w:rFonts w:ascii="Arial" w:hAnsi="Arial" w:cs="Arial"/>
          <w:sz w:val="22"/>
          <w:szCs w:val="22"/>
        </w:rPr>
        <w:t xml:space="preserve"> trabaja en un documento de sistematización regional</w:t>
      </w:r>
      <w:r w:rsidR="006F4D96">
        <w:rPr>
          <w:rFonts w:ascii="Arial" w:hAnsi="Arial" w:cs="Arial"/>
          <w:sz w:val="22"/>
          <w:szCs w:val="22"/>
        </w:rPr>
        <w:t xml:space="preserve"> de buenas prácticas</w:t>
      </w:r>
      <w:r>
        <w:rPr>
          <w:rFonts w:ascii="Arial" w:hAnsi="Arial" w:cs="Arial"/>
          <w:sz w:val="22"/>
          <w:szCs w:val="22"/>
        </w:rPr>
        <w:t xml:space="preserve"> que será presentado en el 1er evento regional online </w:t>
      </w:r>
      <w:r w:rsidR="006F4D96">
        <w:rPr>
          <w:rFonts w:ascii="Arial" w:hAnsi="Arial" w:cs="Arial"/>
          <w:sz w:val="22"/>
          <w:szCs w:val="22"/>
        </w:rPr>
        <w:t>de esta temática impulsada por la GIZ y contrapartes regionales a finales de esta gestión.</w:t>
      </w:r>
    </w:p>
    <w:p w:rsidR="006F4D96" w:rsidRDefault="006F4D96" w:rsidP="00D60046">
      <w:pPr>
        <w:jc w:val="both"/>
        <w:rPr>
          <w:rFonts w:ascii="Arial" w:hAnsi="Arial" w:cs="Arial"/>
          <w:sz w:val="22"/>
          <w:szCs w:val="22"/>
        </w:rPr>
      </w:pPr>
    </w:p>
    <w:p w:rsidR="00D60046" w:rsidRDefault="006F4D96" w:rsidP="00D60046">
      <w:pPr>
        <w:jc w:val="both"/>
        <w:rPr>
          <w:rStyle w:val="Hipervnculo"/>
        </w:rPr>
      </w:pPr>
      <w:r>
        <w:rPr>
          <w:rFonts w:ascii="Arial" w:hAnsi="Arial" w:cs="Arial"/>
          <w:sz w:val="22"/>
          <w:szCs w:val="22"/>
        </w:rPr>
        <w:t xml:space="preserve">Enlace al curso: </w:t>
      </w:r>
      <w:hyperlink r:id="rId6" w:history="1">
        <w:r>
          <w:rPr>
            <w:rStyle w:val="Hipervnculo"/>
          </w:rPr>
          <w:t>https://ww</w:t>
        </w:r>
        <w:bookmarkStart w:id="0" w:name="_GoBack"/>
        <w:bookmarkEnd w:id="0"/>
        <w:r>
          <w:rPr>
            <w:rStyle w:val="Hipervnculo"/>
          </w:rPr>
          <w:t>w</w:t>
        </w:r>
        <w:r>
          <w:rPr>
            <w:rStyle w:val="Hipervnculo"/>
          </w:rPr>
          <w:t>.edx.org/es/course/pronostico-de-la-generacion-de-energia-eolica-y-solar-fotovoltaica</w:t>
        </w:r>
      </w:hyperlink>
    </w:p>
    <w:p w:rsidR="00D952A9" w:rsidRDefault="00D952A9" w:rsidP="00D60046">
      <w:pPr>
        <w:jc w:val="both"/>
        <w:rPr>
          <w:rFonts w:ascii="Arial" w:hAnsi="Arial" w:cs="Arial"/>
          <w:sz w:val="22"/>
          <w:szCs w:val="22"/>
        </w:rPr>
      </w:pPr>
    </w:p>
    <w:p w:rsidR="00D952A9" w:rsidRDefault="00D952A9" w:rsidP="00D952A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>
            <wp:extent cx="3886200" cy="50292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OC_PronosticoDeLaGeneracionDeEnergia.pd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2A9" w:rsidRPr="00D952A9" w:rsidRDefault="00D952A9" w:rsidP="00D952A9">
      <w:pPr>
        <w:jc w:val="center"/>
        <w:rPr>
          <w:rFonts w:ascii="Arial" w:hAnsi="Arial" w:cs="Arial"/>
          <w:sz w:val="16"/>
          <w:szCs w:val="16"/>
        </w:rPr>
      </w:pPr>
      <w:r w:rsidRPr="00D952A9">
        <w:rPr>
          <w:rFonts w:ascii="Arial" w:hAnsi="Arial" w:cs="Arial"/>
          <w:sz w:val="16"/>
          <w:szCs w:val="16"/>
        </w:rPr>
        <w:t>Afiche promocional</w:t>
      </w:r>
    </w:p>
    <w:sectPr w:rsidR="00D952A9" w:rsidRPr="00D952A9" w:rsidSect="006F4D96">
      <w:pgSz w:w="11900" w:h="16840"/>
      <w:pgMar w:top="1417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450C81"/>
    <w:multiLevelType w:val="hybridMultilevel"/>
    <w:tmpl w:val="773A54AE"/>
    <w:lvl w:ilvl="0" w:tplc="FFD63B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A9E"/>
    <w:rsid w:val="00347963"/>
    <w:rsid w:val="00413983"/>
    <w:rsid w:val="004319E9"/>
    <w:rsid w:val="006F4D96"/>
    <w:rsid w:val="007B1066"/>
    <w:rsid w:val="0080775D"/>
    <w:rsid w:val="008A1624"/>
    <w:rsid w:val="009E2178"/>
    <w:rsid w:val="00B05470"/>
    <w:rsid w:val="00C06ABB"/>
    <w:rsid w:val="00D60046"/>
    <w:rsid w:val="00D804CD"/>
    <w:rsid w:val="00D82A9E"/>
    <w:rsid w:val="00D952A9"/>
    <w:rsid w:val="00DE4F4F"/>
    <w:rsid w:val="00EF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2A7FF94"/>
  <w15:chartTrackingRefBased/>
  <w15:docId w15:val="{11CCD3CF-D42A-524F-BEF1-8506F824E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B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4">
    <w:name w:val="heading 4"/>
    <w:aliases w:val="1 TITULO"/>
    <w:basedOn w:val="Normal"/>
    <w:next w:val="Normal"/>
    <w:link w:val="Ttulo4Car"/>
    <w:qFormat/>
    <w:rsid w:val="00D804CD"/>
    <w:pPr>
      <w:keepNext/>
      <w:spacing w:before="120" w:after="120" w:line="23" w:lineRule="atLeast"/>
      <w:jc w:val="both"/>
      <w:outlineLvl w:val="3"/>
    </w:pPr>
    <w:rPr>
      <w:rFonts w:ascii="Century" w:eastAsia="Times New Roman" w:hAnsi="Century" w:cs="Arial"/>
      <w:b/>
      <w:bCs/>
      <w:lang w:val="es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aliases w:val="1 TITULO Car"/>
    <w:link w:val="Ttulo4"/>
    <w:rsid w:val="00D804CD"/>
    <w:rPr>
      <w:rFonts w:ascii="Century" w:eastAsia="Times New Roman" w:hAnsi="Century" w:cs="Arial"/>
      <w:b/>
      <w:bCs/>
      <w:lang w:val="es-ES" w:eastAsia="es-ES_tradnl"/>
    </w:rPr>
  </w:style>
  <w:style w:type="character" w:styleId="Hipervnculo">
    <w:name w:val="Hyperlink"/>
    <w:basedOn w:val="Fuentedeprrafopredeter"/>
    <w:uiPriority w:val="99"/>
    <w:unhideWhenUsed/>
    <w:rsid w:val="0080775D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0775D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80775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4796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7963"/>
    <w:rPr>
      <w:rFonts w:ascii="Segoe UI" w:hAnsi="Segoe UI" w:cs="Segoe U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9E21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dx.org/es/course/pronostico-de-la-generacion-de-energia-eolica-y-solar-fotovoltaica" TargetMode="External"/><Relationship Id="rId5" Type="http://schemas.openxmlformats.org/officeDocument/2006/relationships/hyperlink" Target="mailto:arturo.loayza@giz.d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Pardo Salvatierra, Brenda Rosario GIZ BO</cp:lastModifiedBy>
  <cp:revision>3</cp:revision>
  <dcterms:created xsi:type="dcterms:W3CDTF">2020-07-22T22:03:00Z</dcterms:created>
  <dcterms:modified xsi:type="dcterms:W3CDTF">2020-07-23T21:45:00Z</dcterms:modified>
</cp:coreProperties>
</file>